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843" w:leader="none"/>
        </w:tabs>
        <w:ind w:right="144"/>
        <w:jc w:val="center"/>
        <w:rPr>
          <w:szCs w:val="25"/>
          <w:lang w:eastAsia="uk-UA"/>
        </w:rPr>
      </w:pPr>
      <w:r>
        <w:rPr>
          <w:szCs w:val="25"/>
          <w:lang w:eastAsia="uk-UA"/>
        </w:rPr>
        <w:t>МИНИСТЕРСТВО НАУКИ И ВЫСШЕГО ОБРАЗОВАНИЯ РОССИЙСКОЙ ФЕДЕРАЦИИ</w:t>
      </w:r>
    </w:p>
    <w:p>
      <w:pPr>
        <w:pStyle w:val="Normal"/>
        <w:tabs>
          <w:tab w:val="clear" w:pos="708"/>
          <w:tab w:val="left" w:pos="1843" w:leader="none"/>
        </w:tabs>
        <w:ind w:right="144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Федеральное государственное автономное образовательное </w:t>
      </w:r>
    </w:p>
    <w:p>
      <w:pPr>
        <w:pStyle w:val="Normal"/>
        <w:tabs>
          <w:tab w:val="clear" w:pos="708"/>
          <w:tab w:val="left" w:pos="1843" w:leader="none"/>
        </w:tabs>
        <w:ind w:right="144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учреждение высшего образования</w:t>
      </w:r>
    </w:p>
    <w:p>
      <w:pPr>
        <w:pStyle w:val="Normal"/>
        <w:tabs>
          <w:tab w:val="clear" w:pos="708"/>
          <w:tab w:val="left" w:pos="1843" w:leader="none"/>
        </w:tabs>
        <w:ind w:right="144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«Крымский федеральный университет имени В.И. Вернадского»</w:t>
      </w:r>
    </w:p>
    <w:p>
      <w:pPr>
        <w:pStyle w:val="Normal"/>
        <w:tabs>
          <w:tab w:val="clear" w:pos="708"/>
          <w:tab w:val="left" w:pos="1843" w:leader="none"/>
        </w:tabs>
        <w:ind w:right="144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(ФГАОУ ВО «КФУ им. В.И. Вернадского»)</w:t>
      </w:r>
    </w:p>
    <w:p>
      <w:pPr>
        <w:pStyle w:val="Normal"/>
        <w:tabs>
          <w:tab w:val="clear" w:pos="708"/>
          <w:tab w:val="left" w:pos="1843" w:leader="none"/>
        </w:tabs>
        <w:ind w:right="144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Таврический колледж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b/>
          <w:caps/>
        </w:rPr>
      </w:pPr>
      <w:r>
        <w:rPr>
          <w:sz w:val="28"/>
          <w:szCs w:val="28"/>
          <w:lang w:eastAsia="uk-UA"/>
        </w:rPr>
        <w:t>(структурное подразделение)</w:t>
      </w:r>
    </w:p>
    <w:p>
      <w:pPr>
        <w:pStyle w:val="Normal"/>
        <w:keepLines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keepLines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469"/>
        <w:gridCol w:w="4885"/>
      </w:tblGrid>
      <w:tr>
        <w:trPr>
          <w:trHeight w:val="2234" w:hRule="atLeast"/>
        </w:trPr>
        <w:tc>
          <w:tcPr>
            <w:tcW w:w="4469" w:type="dxa"/>
            <w:tcBorders/>
          </w:tcPr>
          <w:p>
            <w:pPr>
              <w:pStyle w:val="Normal"/>
              <w:keepLines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</w:r>
          </w:p>
        </w:tc>
        <w:tc>
          <w:tcPr>
            <w:tcW w:w="4885" w:type="dxa"/>
            <w:tcBorders/>
          </w:tcPr>
          <w:p>
            <w:pPr>
              <w:pStyle w:val="Normal"/>
              <w:keepLines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</w:r>
          </w:p>
          <w:p>
            <w:pPr>
              <w:pStyle w:val="Normal"/>
              <w:keepLines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УТВЕРЖДАЮ</w:t>
            </w:r>
          </w:p>
          <w:p>
            <w:pPr>
              <w:pStyle w:val="Normal"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</w:p>
          <w:p>
            <w:pPr>
              <w:pStyle w:val="Normal"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производственному обучению</w:t>
            </w:r>
          </w:p>
          <w:p>
            <w:pPr>
              <w:pStyle w:val="Normal"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________________Г. Г. Малюга</w:t>
            </w:r>
          </w:p>
          <w:p>
            <w:pPr>
              <w:pStyle w:val="Normal"/>
              <w:keepLines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u w:val="single"/>
              </w:rPr>
              <w:t>___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  <w:u w:val="single"/>
              </w:rPr>
              <w:t>_______________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u w:val="single"/>
              </w:rPr>
              <w:t xml:space="preserve">___ </w:t>
            </w:r>
            <w:r>
              <w:rPr>
                <w:sz w:val="28"/>
                <w:szCs w:val="28"/>
              </w:rPr>
              <w:t>г</w:t>
            </w:r>
          </w:p>
        </w:tc>
      </w:tr>
    </w:tbl>
    <w:p>
      <w:pPr>
        <w:pStyle w:val="Normal"/>
        <w:keepLines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widowControl w:val="false"/>
        <w:jc w:val="right"/>
        <w:rPr/>
      </w:pPr>
      <w:r>
        <w:rPr/>
      </w:r>
    </w:p>
    <w:p>
      <w:pPr>
        <w:pStyle w:val="Normal"/>
        <w:widowControl w:val="false"/>
        <w:jc w:val="right"/>
        <w:rPr>
          <w:caps/>
          <w:sz w:val="28"/>
          <w:szCs w:val="28"/>
        </w:rPr>
      </w:pPr>
      <w:r>
        <w:rPr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РАБОЧАЯ ПРОГРАММА УЧЕБНОЙ ПРАКТИКИ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ПМ.03 </w:t>
      </w:r>
      <w:r>
        <w:rPr>
          <w:b/>
          <w:sz w:val="28"/>
          <w:szCs w:val="28"/>
        </w:rPr>
        <w:t>Техническое обслуживание и ремонт компьютерных систем и комплексов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rPr>
          <w:b/>
        </w:rPr>
      </w:pPr>
      <w:r>
        <w:rPr>
          <w:bCs/>
          <w:color w:val="000000"/>
          <w:sz w:val="28"/>
          <w:szCs w:val="28"/>
        </w:rPr>
        <w:t>Специальность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09.02.01 Компьютерные системы и комплексы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i/>
          <w:i/>
          <w:caps/>
          <w:sz w:val="20"/>
          <w:szCs w:val="20"/>
        </w:rPr>
      </w:pPr>
      <w:r>
        <w:rPr>
          <w:i/>
          <w:cap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rPr>
          <w:caps/>
          <w:sz w:val="28"/>
          <w:szCs w:val="28"/>
        </w:rPr>
      </w:pPr>
      <w:r>
        <w:rPr>
          <w:bCs/>
          <w:sz w:val="28"/>
          <w:szCs w:val="28"/>
          <w:lang w:eastAsia="ar-SA"/>
        </w:rPr>
        <w:t>Форма обучения очная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rPr>
          <w:sz w:val="28"/>
          <w:szCs w:val="28"/>
        </w:rPr>
      </w:pPr>
      <w:r>
        <w:rPr>
          <w:sz w:val="28"/>
          <w:szCs w:val="28"/>
        </w:rPr>
        <w:t>2024 г.</w:t>
      </w:r>
      <w:r>
        <w:br w:type="page"/>
      </w:r>
    </w:p>
    <w:p>
      <w:pPr>
        <w:pStyle w:val="Normal"/>
        <w:spacing w:before="0" w:after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Рабочая программа учебной практики разработана на основе Федерального государственного образовательного стандарта среднего профессионального образования, утверждённого приказом Министерства образования и науки Российской Федерации </w:t>
      </w:r>
      <w:r>
        <w:rPr>
          <w:sz w:val="28"/>
          <w:szCs w:val="28"/>
        </w:rPr>
        <w:t>от 28.07.2014 г. № 849</w:t>
      </w:r>
      <w:r>
        <w:rPr>
          <w:bCs/>
          <w:sz w:val="28"/>
          <w:szCs w:val="28"/>
        </w:rPr>
        <w:t xml:space="preserve">, и является частью профессионального модуля </w:t>
      </w:r>
      <w:r>
        <w:rPr>
          <w:sz w:val="28"/>
          <w:szCs w:val="28"/>
        </w:rPr>
        <w:t>ПМ.03 Техническое обслуживание и ремонт компьютерных систем и комплексов</w:t>
      </w:r>
      <w:r>
        <w:rPr>
          <w:bCs/>
          <w:sz w:val="28"/>
          <w:szCs w:val="28"/>
        </w:rPr>
        <w:t xml:space="preserve">.   </w:t>
      </w:r>
    </w:p>
    <w:p>
      <w:pPr>
        <w:pStyle w:val="Normal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Разработчик: Гальчинская Т.В., преподаватель</w:t>
      </w:r>
      <w:r>
        <w:br w:type="page"/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1. </w:t>
      </w:r>
      <w:r>
        <w:rPr>
          <w:b/>
          <w:sz w:val="28"/>
          <w:szCs w:val="28"/>
        </w:rPr>
        <w:t>ПАСПОРТ РАБОЧЕЙ ПРОГРАММЫ УЧЕБНОЙ ПРАКТИКИ</w:t>
      </w:r>
    </w:p>
    <w:p>
      <w:pPr>
        <w:pStyle w:val="Normal"/>
        <w:keepLines/>
        <w:spacing w:lineRule="auto" w:line="276"/>
        <w:ind w:firstLine="567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ПМ.03 </w:t>
      </w:r>
      <w:r>
        <w:rPr>
          <w:b/>
          <w:sz w:val="28"/>
          <w:szCs w:val="28"/>
        </w:rPr>
        <w:t>Техническое обслуживание и ремонт компьютерных систем и комплексов</w:t>
      </w:r>
    </w:p>
    <w:p>
      <w:pPr>
        <w:pStyle w:val="Normal"/>
        <w:suppressAutoHyphens w:val="true"/>
        <w:ind w:right="-185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1.1. Область применения программы</w:t>
      </w:r>
    </w:p>
    <w:p>
      <w:pPr>
        <w:pStyle w:val="Normal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Рабочая п</w:t>
      </w:r>
      <w:r>
        <w:rPr>
          <w:rFonts w:eastAsia="TimesNewRomanPSMT"/>
          <w:sz w:val="28"/>
          <w:szCs w:val="28"/>
        </w:rPr>
        <w:t>рограмма</w:t>
      </w:r>
      <w:r>
        <w:rPr>
          <w:sz w:val="28"/>
          <w:szCs w:val="28"/>
        </w:rPr>
        <w:t xml:space="preserve"> производственной </w:t>
      </w:r>
      <w:r>
        <w:rPr>
          <w:rFonts w:eastAsia="TimesNewRomanPSMT"/>
          <w:sz w:val="28"/>
          <w:szCs w:val="28"/>
        </w:rPr>
        <w:t xml:space="preserve">практики является частью </w:t>
      </w:r>
      <w:r>
        <w:rPr>
          <w:sz w:val="28"/>
          <w:szCs w:val="28"/>
          <w:lang w:eastAsia="ar-SA"/>
        </w:rPr>
        <w:t xml:space="preserve">основной профессиональной образовательной программы в соответствии с ФГОС СПО </w:t>
      </w:r>
      <w:r>
        <w:rPr>
          <w:sz w:val="28"/>
          <w:szCs w:val="28"/>
        </w:rPr>
        <w:t>09.02.01 Компьютерные системы и комплексы</w:t>
      </w:r>
      <w:r>
        <w:rPr>
          <w:sz w:val="28"/>
          <w:szCs w:val="28"/>
          <w:lang w:eastAsia="ar-SA"/>
        </w:rPr>
        <w:t xml:space="preserve">. </w:t>
      </w:r>
    </w:p>
    <w:p>
      <w:pPr>
        <w:pStyle w:val="Normal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1.2. Место производственной практики в структуре основной профессиональной образовательной программы:</w:t>
      </w:r>
    </w:p>
    <w:p>
      <w:pPr>
        <w:pStyle w:val="Normal"/>
        <w:jc w:val="both"/>
        <w:rPr>
          <w:b/>
          <w:sz w:val="28"/>
          <w:szCs w:val="28"/>
          <w:lang w:eastAsia="ar-SA"/>
        </w:rPr>
      </w:pPr>
      <w:r>
        <w:rPr>
          <w:sz w:val="28"/>
          <w:szCs w:val="28"/>
        </w:rPr>
        <w:t>ПМ.03 Техническое обслуживание и ремонт компьютерных систем и комплексов</w:t>
      </w:r>
      <w:r>
        <w:rPr>
          <w:bCs/>
          <w:color w:val="000000"/>
          <w:sz w:val="28"/>
          <w:szCs w:val="28"/>
        </w:rPr>
        <w:t>.</w:t>
      </w:r>
    </w:p>
    <w:p>
      <w:pPr>
        <w:pStyle w:val="Normal"/>
        <w:suppressAutoHyphens w:val="true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1.3. Цели и задачи учебной практики – требования к результатам освоения учебной практики:</w:t>
      </w:r>
    </w:p>
    <w:p>
      <w:pPr>
        <w:pStyle w:val="Normal"/>
        <w:suppressAutoHyphens w:val="true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результате освоения учебной практики обучающийся должен: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rFonts w:eastAsia="SimSun"/>
          <w:b/>
          <w:sz w:val="28"/>
          <w:szCs w:val="28"/>
        </w:rPr>
      </w:pPr>
      <w:r>
        <w:rPr>
          <w:rFonts w:eastAsia="SimSun"/>
          <w:b/>
          <w:sz w:val="28"/>
          <w:szCs w:val="28"/>
        </w:rPr>
        <w:t>иметь практический опыт: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проведения контроля, диагностики и восстановления работоспособности компьютерных систем и комплексов;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системотехнического обслуживания компьютерных систем и комплексов;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отладки аппаратно-программных систем и комплексов;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инсталляции, конфигурирования и настройки операционной системы, драйверов, резидентных программ.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уметь: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проводить контроль, диагностику и восстановление работоспособности компьютерных систем и комплексов;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проводить системотехническое обслуживание компьютерных систем и комплексов и составлять программы профилактического обслуживания;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принимать участие в отладке и технических испытаниях компьютерных систем и комплексов;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инсталляции, конфигурировании и настройке операционной системы, драйверов, резидентных программ, типового программного обеспечения;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выполнять регламенты техники безопасности; 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пользоваться нормативной и справочной литературой для выбора устройств, материалов, оборудования, измерительных средств и др.;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и оформлять техническую документацию в соответствии с действующими нормативными документами;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строить локальные сети по стандартам физического и канального уровней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66" w:leader="none"/>
        </w:tabs>
        <w:ind w:hanging="360" w:left="1004"/>
        <w:jc w:val="both"/>
        <w:rPr>
          <w:sz w:val="28"/>
          <w:szCs w:val="28"/>
        </w:rPr>
      </w:pPr>
      <w:r>
        <w:rPr>
          <w:sz w:val="28"/>
          <w:szCs w:val="28"/>
        </w:rPr>
        <w:t>обслуживать удаленный доступ.</w:t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1" w:right="850" w:gutter="0" w:header="567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keepLines/>
        <w:spacing w:lineRule="auto" w:line="276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  <w:lang w:eastAsia="ar-SA"/>
        </w:rPr>
        <w:t>1.4. Количество часов на освоение рабочей программы учебной практики:</w:t>
      </w:r>
      <w:r>
        <w:rPr>
          <w:sz w:val="28"/>
          <w:szCs w:val="28"/>
        </w:rPr>
        <w:t xml:space="preserve"> 108 ч.</w:t>
      </w:r>
    </w:p>
    <w:p>
      <w:pPr>
        <w:pStyle w:val="Normal"/>
        <w:suppressAutoHyphens w:val="true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2. СТРУКТУРА И СОДЕРЖАНИЕ УЧЕБНОЙ ПРАКТИКИ</w:t>
      </w:r>
    </w:p>
    <w:p>
      <w:pPr>
        <w:pStyle w:val="Normal"/>
        <w:suppressAutoHyphens w:val="true"/>
        <w:ind w:left="-18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</w:r>
    </w:p>
    <w:p>
      <w:pPr>
        <w:pStyle w:val="Normal"/>
        <w:suppressAutoHyphens w:val="true"/>
        <w:ind w:left="-18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2.1. Объем учебной практики</w:t>
      </w:r>
    </w:p>
    <w:p>
      <w:pPr>
        <w:pStyle w:val="Normal"/>
        <w:suppressAutoHyphens w:val="true"/>
        <w:ind w:left="-180" w:right="-185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</w:r>
    </w:p>
    <w:tbl>
      <w:tblPr>
        <w:tblW w:w="79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02"/>
        <w:gridCol w:w="1825"/>
        <w:gridCol w:w="12"/>
      </w:tblGrid>
      <w:tr>
        <w:trPr>
          <w:trHeight w:val="460" w:hRule="atLeast"/>
        </w:trPr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  <w:lang w:eastAsia="ar-SA"/>
              </w:rPr>
              <w:t>Семестр (согласно УП)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b/>
                <w:i/>
                <w:i/>
                <w:iCs/>
                <w:szCs w:val="28"/>
                <w:lang w:eastAsia="ar-SA"/>
              </w:rPr>
            </w:pPr>
            <w:r>
              <w:rPr>
                <w:b/>
                <w:i/>
                <w:iCs/>
                <w:szCs w:val="28"/>
                <w:lang w:eastAsia="ar-SA"/>
              </w:rPr>
              <w:t>Объем часов</w:t>
            </w:r>
          </w:p>
        </w:tc>
        <w:tc>
          <w:tcPr>
            <w:tcW w:w="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6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b/>
                <w:szCs w:val="28"/>
                <w:lang w:eastAsia="ar-SA"/>
              </w:rPr>
            </w:pPr>
            <w:r>
              <w:rPr>
                <w:b/>
                <w:szCs w:val="28"/>
                <w:lang w:eastAsia="ar-SA"/>
              </w:rPr>
              <w:t>7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i/>
                <w:i/>
                <w:iCs/>
                <w:szCs w:val="28"/>
                <w:lang w:eastAsia="ar-SA"/>
              </w:rPr>
            </w:pPr>
            <w:r>
              <w:rPr>
                <w:i/>
                <w:iCs/>
                <w:szCs w:val="28"/>
                <w:lang w:eastAsia="ar-SA"/>
              </w:rPr>
              <w:t>108</w:t>
            </w:r>
          </w:p>
        </w:tc>
        <w:tc>
          <w:tcPr>
            <w:tcW w:w="12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7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napToGrid w:val="false"/>
              <w:jc w:val="center"/>
              <w:rPr>
                <w:i/>
                <w:i/>
                <w:iCs/>
                <w:szCs w:val="28"/>
                <w:lang w:eastAsia="ar-SA"/>
              </w:rPr>
            </w:pPr>
            <w:r>
              <w:rPr>
                <w:b/>
                <w:iCs/>
                <w:szCs w:val="28"/>
                <w:lang w:eastAsia="ar-SA"/>
              </w:rPr>
              <w:t>Промежуточная аттестация в форме</w:t>
            </w:r>
            <w:r>
              <w:rPr>
                <w:i/>
                <w:iCs/>
                <w:szCs w:val="28"/>
                <w:lang w:eastAsia="ar-SA"/>
              </w:rPr>
              <w:t xml:space="preserve"> дифференцированного зачета</w:t>
            </w:r>
          </w:p>
        </w:tc>
      </w:tr>
    </w:tbl>
    <w:p>
      <w:pPr>
        <w:pStyle w:val="Normal"/>
        <w:suppressAutoHyphens w:val="true"/>
        <w:rPr>
          <w:lang w:eastAsia="ar-SA"/>
        </w:rPr>
      </w:pPr>
      <w:r>
        <w:rPr>
          <w:lang w:eastAsia="ar-SA"/>
        </w:rPr>
      </w:r>
    </w:p>
    <w:p>
      <w:pPr>
        <w:pStyle w:val="Normal"/>
        <w:keepNext w:val="true"/>
        <w:numPr>
          <w:ilvl w:val="0"/>
          <w:numId w:val="0"/>
        </w:numPr>
        <w:suppressAutoHyphens w:val="true"/>
        <w:outlineLvl w:val="0"/>
        <w:rPr>
          <w:b/>
          <w:caps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2.2. Тематический план и содержание учебной практики</w:t>
      </w:r>
      <w:r>
        <w:rPr>
          <w:b/>
          <w:caps/>
          <w:sz w:val="28"/>
          <w:szCs w:val="28"/>
          <w:lang w:eastAsia="ar-SA"/>
        </w:rPr>
        <w:t xml:space="preserve"> </w:t>
      </w:r>
    </w:p>
    <w:p>
      <w:pPr>
        <w:pStyle w:val="Normal"/>
        <w:keepNext w:val="true"/>
        <w:numPr>
          <w:ilvl w:val="0"/>
          <w:numId w:val="0"/>
        </w:numPr>
        <w:suppressAutoHyphens w:val="true"/>
        <w:outlineLvl w:val="0"/>
        <w:rPr>
          <w:lang w:eastAsia="ar-SA"/>
        </w:rPr>
      </w:pPr>
      <w:r>
        <w:rPr>
          <w:lang w:eastAsia="ar-SA"/>
        </w:rPr>
      </w:r>
    </w:p>
    <w:tbl>
      <w:tblPr>
        <w:tblW w:w="960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7796"/>
        <w:gridCol w:w="960"/>
      </w:tblGrid>
      <w:tr>
        <w:trPr>
          <w:trHeight w:val="645" w:hRule="atLeast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№</w:t>
            </w:r>
            <w:r>
              <w:rPr>
                <w:b/>
                <w:bCs/>
                <w:color w:val="000000"/>
              </w:rPr>
              <w:t>пп</w:t>
            </w:r>
          </w:p>
        </w:tc>
        <w:tc>
          <w:tcPr>
            <w:tcW w:w="779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eastAsia="ar-SA"/>
              </w:rPr>
              <w:t>Тематический план учебной практики</w:t>
            </w:r>
          </w:p>
        </w:tc>
        <w:tc>
          <w:tcPr>
            <w:tcW w:w="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eastAsia="ar-SA"/>
              </w:rPr>
              <w:t>Объем часов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Подготовительно-ознакомительный этап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>
        <w:trPr>
          <w:trHeight w:val="300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Инструктаж по технике безопасности, выдача заданий на практику. 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Закрепление рабочего места, ознакомление с трудовым распорядком дня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>
          <w:trHeight w:val="58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 1. Проведение контроля, диагностики и восстановления работоспособности  компьютерных систем и комплексов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 «Документирование комплектующих ПК»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 «Текущее обслуживание ПК»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3 «Создание загрузочного носителя»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</w:rPr>
              <w:t>Тема 2. Отладка аппаратно-программных систем и комплексов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12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4 «Создание образа ОС»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5 «Установка принтера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6 «Совместное использование принтера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7 «Просмотр сетевого трафика с помощью WireShark»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58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 3. Инсталляция, конфигурация и настройка ОС, драйверов, резидентных программ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8 «Установка Windows»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9 «Управление системными файлами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pacing w:val="-3"/>
                <w:szCs w:val="22"/>
              </w:rPr>
              <w:t>Практическая работа № 10 «Контроль и управление системными ресурсами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11 «Настройка брандмауэра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12 «Планировщик заданий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13 «Удаленный рабочий стол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14 «Настройка пользователей и групп в ОС Windows»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15 «Установка ОС Linux на виртуальную машину и изучение графического интерфейса»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16 «Работа с командой строкой ОС Linux»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 4. Замена радиоэлементов на платах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17</w:t>
            </w:r>
            <w:r>
              <w:rPr>
                <w:color w:val="000000"/>
                <w:sz w:val="22"/>
                <w:szCs w:val="22"/>
              </w:rPr>
              <w:t>. Замена навесных радиоэлементов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18</w:t>
            </w:r>
            <w:r>
              <w:rPr>
                <w:color w:val="000000"/>
                <w:sz w:val="22"/>
                <w:szCs w:val="22"/>
              </w:rPr>
              <w:t>. Замена радиоэлементов поверхностного монтажа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19</w:t>
            </w:r>
            <w:r>
              <w:rPr>
                <w:color w:val="000000"/>
                <w:sz w:val="22"/>
                <w:szCs w:val="22"/>
              </w:rPr>
              <w:t>. Замена микросхем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 5. Сборка и разборка системного блока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20</w:t>
            </w:r>
            <w:r>
              <w:rPr>
                <w:color w:val="000000"/>
                <w:sz w:val="22"/>
                <w:szCs w:val="22"/>
              </w:rPr>
              <w:t>. Разборка и сборка системного блока типа Tower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21</w:t>
            </w:r>
            <w:r>
              <w:rPr>
                <w:color w:val="000000"/>
                <w:sz w:val="22"/>
                <w:szCs w:val="22"/>
              </w:rPr>
              <w:t>. Разборка и сборка системного блока типа Desktop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22</w:t>
            </w:r>
            <w:r>
              <w:rPr>
                <w:color w:val="000000"/>
                <w:sz w:val="22"/>
                <w:szCs w:val="22"/>
              </w:rPr>
              <w:t>. Разборка и сборка блока питания форм-фактора ATX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 7. Сборка и разборка печатающей и копировальной техники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23</w:t>
            </w:r>
            <w:r>
              <w:rPr>
                <w:color w:val="000000"/>
                <w:sz w:val="22"/>
                <w:szCs w:val="22"/>
              </w:rPr>
              <w:t>. Разборка и сборка лазерного принтера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24</w:t>
            </w:r>
            <w:r>
              <w:rPr>
                <w:color w:val="000000"/>
                <w:sz w:val="22"/>
                <w:szCs w:val="22"/>
              </w:rPr>
              <w:t>. Разборка и сборка струйного принтера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645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25</w:t>
            </w:r>
            <w:r>
              <w:rPr>
                <w:color w:val="000000"/>
                <w:sz w:val="22"/>
                <w:szCs w:val="22"/>
              </w:rPr>
              <w:t>. Разборка и сбо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>рка матричного принтера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79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Тема 8. Сборка и разборка прочего периферийного оборудования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>
        <w:trPr>
          <w:trHeight w:val="315" w:hRule="atLeast"/>
        </w:trPr>
        <w:tc>
          <w:tcPr>
            <w:tcW w:w="851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26</w:t>
            </w:r>
            <w:r>
              <w:rPr>
                <w:color w:val="000000"/>
                <w:sz w:val="22"/>
                <w:szCs w:val="22"/>
              </w:rPr>
              <w:t>. Разборка и сборка контроллеров и манипуляторов</w:t>
            </w:r>
          </w:p>
        </w:tc>
        <w:tc>
          <w:tcPr>
            <w:tcW w:w="96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851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  <w:szCs w:val="22"/>
              </w:rPr>
              <w:t>Практическая работа № 27</w:t>
            </w:r>
            <w:r>
              <w:rPr>
                <w:color w:val="000000"/>
                <w:sz w:val="22"/>
                <w:szCs w:val="22"/>
              </w:rPr>
              <w:t>. Разборка и сборка клавиатуры</w:t>
            </w:r>
          </w:p>
        </w:tc>
        <w:tc>
          <w:tcPr>
            <w:tcW w:w="960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Обработка и анализ полученной информации, подготовка отчета по практике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>
        <w:trPr>
          <w:trHeight w:val="315" w:hRule="atLeast"/>
        </w:trPr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796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Составление отчета по практике 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15" w:hRule="atLeast"/>
        </w:trPr>
        <w:tc>
          <w:tcPr>
            <w:tcW w:w="86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Всего:</w:t>
            </w:r>
          </w:p>
        </w:tc>
        <w:tc>
          <w:tcPr>
            <w:tcW w:w="960" w:type="dxa"/>
            <w:tcBorders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108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1701" w:right="851" w:gutter="0" w:header="567" w:top="1134" w:footer="0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spacing w:lineRule="auto" w:line="276"/>
        <w:jc w:val="both"/>
        <w:rPr>
          <w:sz w:val="28"/>
        </w:rPr>
      </w:pPr>
      <w:r>
        <w:rPr>
          <w:sz w:val="28"/>
        </w:rPr>
      </w:r>
    </w:p>
    <w:p>
      <w:pPr>
        <w:pStyle w:val="Normal"/>
        <w:widowControl w:val="false"/>
        <w:numPr>
          <w:ilvl w:val="0"/>
          <w:numId w:val="0"/>
        </w:numPr>
        <w:jc w:val="center"/>
        <w:outlineLvl w:val="0"/>
        <w:rPr>
          <w:b/>
          <w:caps/>
          <w:sz w:val="28"/>
          <w:szCs w:val="28"/>
          <w:lang w:eastAsia="ar-SA"/>
        </w:rPr>
      </w:pPr>
      <w:r>
        <w:rPr>
          <w:b/>
          <w:caps/>
          <w:sz w:val="28"/>
          <w:szCs w:val="28"/>
          <w:lang w:eastAsia="ar-SA"/>
        </w:rPr>
        <w:t>3. Контроль и оценка результатов освоения учебной практики</w:t>
      </w:r>
    </w:p>
    <w:p>
      <w:pPr>
        <w:pStyle w:val="Normal"/>
        <w:widowControl w:val="false"/>
        <w:numPr>
          <w:ilvl w:val="0"/>
          <w:numId w:val="0"/>
        </w:numPr>
        <w:ind w:firstLine="709"/>
        <w:jc w:val="both"/>
        <w:outlineLvl w:val="0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Контроль и оценка результатов освоения учебной практики осуществляется преподавателем в ходе проверки результатов выполнения заданий по учебной практике, подготовленных отчетов и заполненных дневников.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и промежуточная аттестация осуществляется в соответствии с Порядком организации и проведения текущего контроля успеваемости и промежуточной аттестации, обучающихся в колледжах ФГАОУ ВО «КФУ им. В.И. Вернадского».</w:t>
      </w:r>
    </w:p>
    <w:p>
      <w:pPr>
        <w:pStyle w:val="Normal"/>
        <w:ind w:firstLine="426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Материалы, используемые для контроля результатов обучения, приводятся в Фонде оценочных средств по учебной практике.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284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jc w:val="center"/>
        <w:outlineLvl w:val="0"/>
        <w:rPr>
          <w:b/>
          <w:bCs/>
          <w:caps/>
          <w:kern w:val="2"/>
          <w:lang w:eastAsia="x-none"/>
        </w:rPr>
      </w:pPr>
      <w:r>
        <w:rPr>
          <w:b/>
          <w:bCs/>
          <w:caps/>
          <w:kern w:val="2"/>
          <w:lang w:eastAsia="x-none"/>
        </w:rPr>
        <w:t xml:space="preserve">4. </w:t>
      </w:r>
      <w:r>
        <w:rPr>
          <w:b/>
          <w:bCs/>
          <w:caps/>
          <w:kern w:val="2"/>
          <w:lang w:val="x-none" w:eastAsia="x-none"/>
        </w:rPr>
        <w:t xml:space="preserve">условия реализации </w:t>
      </w:r>
      <w:r>
        <w:rPr>
          <w:b/>
          <w:bCs/>
          <w:caps/>
          <w:kern w:val="2"/>
          <w:lang w:eastAsia="x-none"/>
        </w:rPr>
        <w:t xml:space="preserve">рабочей </w:t>
      </w:r>
      <w:r>
        <w:rPr>
          <w:b/>
          <w:bCs/>
          <w:caps/>
          <w:kern w:val="2"/>
          <w:lang w:val="x-none" w:eastAsia="x-none"/>
        </w:rPr>
        <w:t>программ</w:t>
      </w:r>
      <w:r>
        <w:rPr>
          <w:b/>
          <w:bCs/>
          <w:caps/>
          <w:kern w:val="2"/>
          <w:lang w:eastAsia="x-none"/>
        </w:rPr>
        <w:t>ы</w:t>
      </w:r>
      <w:r>
        <w:rPr>
          <w:b/>
          <w:bCs/>
          <w:caps/>
          <w:kern w:val="2"/>
          <w:lang w:val="x-none" w:eastAsia="x-none"/>
        </w:rPr>
        <w:t xml:space="preserve"> </w:t>
      </w:r>
      <w:r>
        <w:rPr>
          <w:b/>
          <w:bCs/>
          <w:caps/>
          <w:kern w:val="2"/>
          <w:lang w:eastAsia="x-none"/>
        </w:rPr>
        <w:t>учебной практики</w:t>
      </w:r>
    </w:p>
    <w:p>
      <w:pPr>
        <w:pStyle w:val="Normal"/>
        <w:keepLines/>
        <w:numPr>
          <w:ilvl w:val="0"/>
          <w:numId w:val="0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right" w:pos="10206" w:leader="dot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360"/>
        <w:jc w:val="both"/>
        <w:outlineLvl w:val="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4.1. </w:t>
      </w:r>
      <w:r>
        <w:rPr>
          <w:b/>
          <w:sz w:val="28"/>
          <w:szCs w:val="28"/>
        </w:rPr>
        <w:t>Учебно-методическое обеспечение</w:t>
      </w:r>
    </w:p>
    <w:p>
      <w:pPr>
        <w:pStyle w:val="Heading1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hanging="0"/>
        <w:rPr>
          <w:b/>
          <w:caps/>
          <w:sz w:val="28"/>
          <w:szCs w:val="28"/>
        </w:rPr>
      </w:pPr>
      <w:r>
        <w:rPr>
          <w:bCs/>
          <w:sz w:val="28"/>
          <w:szCs w:val="28"/>
        </w:rPr>
        <w:t>Основная учебная литература:</w:t>
      </w:r>
    </w:p>
    <w:p>
      <w:pPr>
        <w:pStyle w:val="Normal"/>
        <w:numPr>
          <w:ilvl w:val="0"/>
          <w:numId w:val="2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Дьячков, В. П.  Аппаратные средства персонального компьютера: учебное пособие для среднего профессионального образования / В. П. Дьячков. — Москва: Издательство Юрайт, 2021. — 153 с. — (Профессиональное образование). — ISBN 978-5-534-14249-5. — Текст: электронный // ЭБС Юрайт [сайт]. — URL: https://urait.ru/bcode/468107 (дата обращения: 01.07.2021).</w:t>
      </w:r>
    </w:p>
    <w:p>
      <w:pPr>
        <w:pStyle w:val="Normal"/>
        <w:numPr>
          <w:ilvl w:val="0"/>
          <w:numId w:val="2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Новожилов, О. П.  Архитектура эвм и систем: учебное пособие для академического бакалавриата / О. П. Новожилов. — Москва: Издательство Юрайт, 2018. — 527 с. — (Бакалавр. Академический курс). — ISBN 978-5-534-02626-9. — Текст: электронный // ЭБС Юрайт [сайт]. — URL: https://www.urait.ru/bcode/412746 (дата обращения: 01.07.2021).</w:t>
      </w:r>
    </w:p>
    <w:p>
      <w:pPr>
        <w:pStyle w:val="Normal"/>
        <w:numPr>
          <w:ilvl w:val="0"/>
          <w:numId w:val="2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Миленина, С. А.  Электротехника, электроника и схемотехника: учебник и практикум для вузов / С. А. Миленина, Н. К. Миленин ; под редакцией Н. К. Миленина. — 2-е изд., перераб. и доп. — Москва: Издательство Юрайт, 2021. — 406 с. — (Высшее образование). — ISBN 978-5-534-04525-3. — Текст: электронный // ЭБС Юрайт [сайт]. — URL: https://urait.ru/bcode/469194 (дата обращения: 30.06.2021).</w:t>
      </w:r>
    </w:p>
    <w:p>
      <w:pPr>
        <w:pStyle w:val="Normal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Дополнительная учебная литература: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>
      <w:pPr>
        <w:pStyle w:val="Normal"/>
        <w:numPr>
          <w:ilvl w:val="0"/>
          <w:numId w:val="3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Новожилов, О. П.  Архитектура компьютерных систем в 2 ч. Часть 1: учебное пособие для среднего профессионального образования / О. П. Новожилов. — Москва: Издательство Юрайт, 2021. — 276 с. — (Профессиональное образование). — ISBN 978-5-534-10299-4. — Текст: электронный // ЭБС Юрайт [сайт]. — URL: https://urait.ru/bcode/475573 (дата обращения: 01.07.2021).</w:t>
      </w:r>
    </w:p>
    <w:p>
      <w:pPr>
        <w:pStyle w:val="Normal"/>
        <w:spacing w:lineRule="auto" w:line="259" w:before="0" w:after="16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  <w:r>
        <w:br w:type="page"/>
      </w:r>
    </w:p>
    <w:p>
      <w:pPr>
        <w:pStyle w:val="Normal"/>
        <w:spacing w:before="0" w:after="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>Перечень ресурсов информационно-телекоммуникационной сети «Интернет»:</w:t>
      </w:r>
    </w:p>
    <w:p>
      <w:pPr>
        <w:pStyle w:val="Normal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https://intellect.icu/tekhnicheskoe-obsluzhivanie-kompyuternykh-sistem-osnovnye-ponyatiya-i-opredeleni-3261.</w:t>
      </w:r>
    </w:p>
    <w:p>
      <w:pPr>
        <w:pStyle w:val="Normal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https://avtovsamare.ru/kak-sdelat-tehnicheskoe-obsluzhivanie-kompyutera-svoimi/.</w:t>
      </w:r>
    </w:p>
    <w:p>
      <w:pPr>
        <w:pStyle w:val="Normal"/>
        <w:ind w:left="78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</w:r>
    </w:p>
    <w:p>
      <w:pPr>
        <w:pStyle w:val="Normal"/>
        <w:keepLines/>
        <w:numPr>
          <w:ilvl w:val="0"/>
          <w:numId w:val="0"/>
        </w:numPr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right" w:pos="10206" w:leader="dot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360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4.2. Требования к минимальному материально-техническому обеспечению</w:t>
      </w:r>
    </w:p>
    <w:p>
      <w:pPr>
        <w:pStyle w:val="Normal"/>
        <w:spacing w:lineRule="auto" w:line="276"/>
        <w:ind w:firstLine="709"/>
        <w:rPr>
          <w:sz w:val="28"/>
          <w:szCs w:val="28"/>
        </w:rPr>
      </w:pPr>
      <w:r>
        <w:rPr>
          <w:bCs/>
          <w:sz w:val="28"/>
          <w:szCs w:val="28"/>
          <w:lang w:eastAsia="ar-SA"/>
        </w:rPr>
        <w:t xml:space="preserve">Реализация рабочей программы учебной практики требует наличия </w:t>
      </w:r>
      <w:r>
        <w:rPr>
          <w:sz w:val="28"/>
          <w:szCs w:val="28"/>
        </w:rPr>
        <w:t>мастерской электромонтажной.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Мастерская электромонтажная (ауд. №107А).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Специализированная мебель: стол преподавателя -  1 шт., стул- 68 шт., стол-29 шт., стульев - 16 шт.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Технические средства обучения: доска мультимедийная - 1 шт., видеопроектор М/Медиа -1 шт., ПК - 29 шт.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Программное обеспечение: Windows 8, Windows 10. Blender, Inkskape, Gimp, 7Z Браузер: Mozilla, Chrome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  <w:t>Специальное лабораторное оборудование и иное оборудование: нет. Мастерская электромонтажная.</w:t>
      </w:r>
    </w:p>
    <w:p>
      <w:pPr>
        <w:pStyle w:val="Normal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701" w:right="850" w:gutter="0" w:header="708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"/>
      <w:lvlJc w:val="left"/>
      <w:pPr>
        <w:tabs>
          <w:tab w:val="num" w:pos="0"/>
        </w:tabs>
        <w:ind w:left="9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615b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qFormat/>
    <w:rsid w:val="009615b5"/>
    <w:pPr>
      <w:keepNext w:val="true"/>
      <w:ind w:firstLine="284"/>
      <w:outlineLvl w:val="0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615b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3" w:customStyle="1">
    <w:name w:val="Верхний колонтитул Знак"/>
    <w:basedOn w:val="DefaultParagraphFont"/>
    <w:qFormat/>
    <w:rsid w:val="009615b5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rsid w:val="009615b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Верхний колонтитул слева"/>
    <w:basedOn w:val="Header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LibreOffice/24.8.3.2$Linux_X86_64 LibreOffice_project/e14c9fdd1f585efcbb2c5363087a99d20928d522</Application>
  <AppVersion>15.0000</AppVersion>
  <Pages>14</Pages>
  <Words>1069</Words>
  <Characters>7720</Characters>
  <CharactersWithSpaces>8701</CharactersWithSpaces>
  <Paragraphs>154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2024-09-23T07:38:00Z</dcterms:created>
  <dc:creator>User</dc:creator>
  <dc:description/>
  <dc:language>ru-RU</dc:language>
  <cp:lastModifiedBy>User</cp:lastModifiedBy>
  <dcterms:modified xsi:type="dcterms:W3CDTF">2024-12-02T10:27:00Z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